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43" w:rsidRPr="006F4354" w:rsidRDefault="00C5393D" w:rsidP="00C5393D">
      <w:pPr>
        <w:jc w:val="center"/>
        <w:rPr>
          <w:b/>
          <w:color w:val="00B050"/>
        </w:rPr>
      </w:pPr>
      <w:bookmarkStart w:id="0" w:name="_GoBack"/>
      <w:bookmarkEnd w:id="0"/>
      <w:r w:rsidRPr="006F4354">
        <w:rPr>
          <w:b/>
          <w:color w:val="00B050"/>
        </w:rPr>
        <w:t>CISL FRIULI VENEZIA GIULIA</w:t>
      </w:r>
    </w:p>
    <w:p w:rsidR="006F4354" w:rsidRPr="006F4354" w:rsidRDefault="006F4354" w:rsidP="00C5393D">
      <w:pPr>
        <w:jc w:val="center"/>
        <w:rPr>
          <w:b/>
          <w:sz w:val="26"/>
          <w:szCs w:val="26"/>
        </w:rPr>
      </w:pPr>
      <w:r w:rsidRPr="006F4354">
        <w:rPr>
          <w:b/>
          <w:sz w:val="26"/>
          <w:szCs w:val="26"/>
        </w:rPr>
        <w:t>COMUNICATO STAMPA</w:t>
      </w:r>
    </w:p>
    <w:p w:rsidR="00C5393D" w:rsidRPr="00C5393D" w:rsidRDefault="00C5393D" w:rsidP="00C5393D">
      <w:pPr>
        <w:jc w:val="center"/>
        <w:rPr>
          <w:i/>
        </w:rPr>
      </w:pPr>
      <w:r>
        <w:rPr>
          <w:i/>
        </w:rPr>
        <w:t xml:space="preserve">La fotografia scattata dal Dipartimento Industria della </w:t>
      </w:r>
      <w:r w:rsidR="001412A8">
        <w:rPr>
          <w:i/>
        </w:rPr>
        <w:t>Cisl regionale. Urge ampliare la cigo</w:t>
      </w:r>
    </w:p>
    <w:p w:rsidR="00C5393D" w:rsidRDefault="00C5393D" w:rsidP="00C5393D">
      <w:pPr>
        <w:jc w:val="center"/>
        <w:rPr>
          <w:b/>
        </w:rPr>
      </w:pPr>
      <w:r>
        <w:rPr>
          <w:b/>
        </w:rPr>
        <w:t>LIVELLI DI OCCUPAZIONE A LIVELLI RECORD IN FVG, MA PREOCCUPA IL FUTURO IMMINENTE</w:t>
      </w:r>
    </w:p>
    <w:p w:rsidR="00C441D7" w:rsidRDefault="00C5393D" w:rsidP="00C441D7">
      <w:pPr>
        <w:jc w:val="center"/>
        <w:rPr>
          <w:b/>
        </w:rPr>
      </w:pPr>
      <w:r>
        <w:rPr>
          <w:b/>
        </w:rPr>
        <w:t>Pizzo: “Caro energia e soprattutto materie prime difficili da reperire peseranno sull’</w:t>
      </w:r>
      <w:r w:rsidR="001412A8">
        <w:rPr>
          <w:b/>
        </w:rPr>
        <w:t xml:space="preserve">economia del </w:t>
      </w:r>
      <w:proofErr w:type="spellStart"/>
      <w:r w:rsidR="001412A8">
        <w:rPr>
          <w:b/>
        </w:rPr>
        <w:t>Fvg</w:t>
      </w:r>
      <w:proofErr w:type="spellEnd"/>
      <w:r>
        <w:rPr>
          <w:b/>
        </w:rPr>
        <w:t>, se non sapremo sfruttare meglio le filiere”</w:t>
      </w:r>
    </w:p>
    <w:p w:rsidR="00C441D7" w:rsidRDefault="00C441D7" w:rsidP="00C441D7">
      <w:pPr>
        <w:jc w:val="both"/>
      </w:pPr>
      <w:r>
        <w:t xml:space="preserve">Livelli di occupazione record per il Friuli Venezia Giulia, ma la fotografia del momento non basta a rassicurare la Cisl </w:t>
      </w:r>
      <w:proofErr w:type="spellStart"/>
      <w:r>
        <w:t>Fvg</w:t>
      </w:r>
      <w:proofErr w:type="spellEnd"/>
      <w:r>
        <w:t>, preoccupata da un futuro non troppo lontano, in cui peserà sempre di più il caro-energia, ma soprattutto la carenza delle materie prime. “Se guardiamo ai dati relativi all’occupazione è evidente il generale trend di crescita del Friuli Venezia Giulia, anche se, in questo quadro più che positivo, emergono già dei motivi di preoccupazione, come, ad esempio, l’elevato tasso di disoccupazione che continua a caratterizzare la componente femminile, e che si assesta sul 7,5%, ma che in territori come Gorizia e Udine arriva anche all’8,5% e 9%. Allo stesso modo un dato da tenere sotto controllo è quello della provincia di Trieste, con il numero di occupati che tra il 2020 e il 2021, in controtendenza rispetto agli altri territori, è sceso di un migliaio di unità</w:t>
      </w:r>
      <w:r w:rsidR="00357BE8">
        <w:t>, con un tasso di disoccupazione salito dal 4,4% al 5,6%</w:t>
      </w:r>
      <w:r>
        <w:t xml:space="preserve">” – commenta il segretario della Cisl, Cristiano Pizzo, responsabile del Dipartimento Industria del Sindacato. </w:t>
      </w:r>
    </w:p>
    <w:p w:rsidR="00C441D7" w:rsidRDefault="00C441D7" w:rsidP="00C441D7">
      <w:pPr>
        <w:jc w:val="both"/>
      </w:pPr>
      <w:r>
        <w:t>Se le dinamiche del mercato del lavoro, sono per loro natura volubili, caro energia e difficoltà di approvvigionamenti delle materie prime, specialmente componentistica, sembrano determinare un quadro di prospettiva dai confini incerti.</w:t>
      </w:r>
      <w:r w:rsidR="006171DD">
        <w:t xml:space="preserve"> “Nei prossimi mesi – spiega Pizzo – sconteremo in maniera presumibilmente molto pesante le conseguenze non solo della guerra in Ucraina, ma soprattutto della pandemia, che di fatto ha, e continua a condizionare, le forniture soprattutto della componentistica e delle schede elettroniche indispensabili all’industria locale e ad alcune filiere strategiche come quelle dell’elettrodomestico e </w:t>
      </w:r>
      <w:proofErr w:type="spellStart"/>
      <w:r w:rsidR="006171DD">
        <w:t>dell’automotive</w:t>
      </w:r>
      <w:proofErr w:type="spellEnd"/>
      <w:r w:rsidR="0067502C">
        <w:t xml:space="preserve"> e dei terzisti collegati come, ad esempio, le serigrafie</w:t>
      </w:r>
      <w:r w:rsidR="00F35DB0">
        <w:t xml:space="preserve">. Basti pensare alle quattrocento navi ancora bloccate a Shangai per il </w:t>
      </w:r>
      <w:proofErr w:type="spellStart"/>
      <w:r w:rsidR="00F35DB0">
        <w:t>Covid</w:t>
      </w:r>
      <w:proofErr w:type="spellEnd"/>
      <w:r w:rsidR="00F35DB0">
        <w:t xml:space="preserve"> e che quando ripartiranno per l’Europa andranno ad intasare i porti con ulteriori ritardi delle consegne</w:t>
      </w:r>
      <w:r w:rsidR="006171DD">
        <w:t>”.</w:t>
      </w:r>
    </w:p>
    <w:p w:rsidR="006917E3" w:rsidRPr="006917E3" w:rsidRDefault="006171DD" w:rsidP="006917E3">
      <w:pPr>
        <w:jc w:val="both"/>
        <w:rPr>
          <w:rFonts w:ascii="Calibri" w:eastAsia="Times New Roman" w:hAnsi="Calibri" w:cs="Calibri"/>
          <w:color w:val="000000"/>
          <w:lang w:eastAsia="it-IT"/>
        </w:rPr>
      </w:pPr>
      <w:r>
        <w:t xml:space="preserve">A dare la misura di questo scenario </w:t>
      </w:r>
      <w:r w:rsidR="00357BE8">
        <w:t>è la fotografia che il Dipartimento Industria della Cisl FVG sta scattando in questi giorni, all’interno delle aziende. Su tutte, per iniziare, il settore della metalmeccanica, che vede a livello regionale, almeno 26 grandi e medie aziende coinvolte in situazioni di crisi, prevalentemente legate alla m</w:t>
      </w:r>
      <w:r w:rsidR="006917E3">
        <w:t>anc</w:t>
      </w:r>
      <w:r w:rsidR="00357BE8">
        <w:t xml:space="preserve">anza/calo di commesse </w:t>
      </w:r>
      <w:proofErr w:type="gramStart"/>
      <w:r w:rsidR="00357BE8">
        <w:t>ed</w:t>
      </w:r>
      <w:proofErr w:type="gramEnd"/>
      <w:r w:rsidR="00357BE8">
        <w:t>, in egual misura, proprio alla carenza delle materie prime.</w:t>
      </w:r>
      <w:r w:rsidR="006917E3">
        <w:t xml:space="preserve"> Su un totale di </w:t>
      </w:r>
      <w:r w:rsidR="006917E3" w:rsidRPr="006917E3">
        <w:rPr>
          <w:rFonts w:ascii="Calibri" w:eastAsia="Times New Roman" w:hAnsi="Calibri" w:cs="Calibri"/>
          <w:color w:val="000000"/>
          <w:lang w:eastAsia="it-IT"/>
        </w:rPr>
        <w:t>7</w:t>
      </w:r>
      <w:r w:rsidR="006917E3">
        <w:rPr>
          <w:rFonts w:ascii="Calibri" w:eastAsia="Times New Roman" w:hAnsi="Calibri" w:cs="Calibri"/>
          <w:color w:val="000000"/>
          <w:lang w:eastAsia="it-IT"/>
        </w:rPr>
        <w:t>.</w:t>
      </w:r>
      <w:r w:rsidR="006917E3" w:rsidRPr="006917E3">
        <w:rPr>
          <w:rFonts w:ascii="Calibri" w:eastAsia="Times New Roman" w:hAnsi="Calibri" w:cs="Calibri"/>
          <w:color w:val="000000"/>
          <w:lang w:eastAsia="it-IT"/>
        </w:rPr>
        <w:t>137</w:t>
      </w:r>
      <w:r w:rsidR="006917E3">
        <w:rPr>
          <w:rFonts w:ascii="Calibri" w:eastAsia="Times New Roman" w:hAnsi="Calibri" w:cs="Calibri"/>
          <w:color w:val="000000"/>
          <w:lang w:eastAsia="it-IT"/>
        </w:rPr>
        <w:t xml:space="preserve"> addetti totali delle 26 aziende considerate, ben 3.758 sono direttamente interessati da percorsi di ammortizzatore sociale, in massima parte cassa integrazione ordinaria, o almeno da ferie forzate. </w:t>
      </w:r>
    </w:p>
    <w:p w:rsidR="006171DD" w:rsidRDefault="006917E3" w:rsidP="00C441D7">
      <w:pPr>
        <w:jc w:val="both"/>
      </w:pPr>
      <w:r>
        <w:rPr>
          <w:noProof/>
          <w:lang w:eastAsia="it-IT"/>
        </w:rPr>
        <w:drawing>
          <wp:inline distT="0" distB="0" distL="0" distR="0" wp14:anchorId="7248E385" wp14:editId="3E59B260">
            <wp:extent cx="2710543" cy="1649186"/>
            <wp:effectExtent l="0" t="0" r="13970" b="825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t xml:space="preserve"> </w:t>
      </w:r>
      <w:r>
        <w:rPr>
          <w:noProof/>
          <w:lang w:eastAsia="it-IT"/>
        </w:rPr>
        <w:drawing>
          <wp:inline distT="0" distB="0" distL="0" distR="0" wp14:anchorId="609257AA" wp14:editId="7120F71E">
            <wp:extent cx="2792095" cy="1643471"/>
            <wp:effectExtent l="0" t="0" r="8255" b="1397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917E3" w:rsidRDefault="006917E3" w:rsidP="00C441D7">
      <w:pPr>
        <w:jc w:val="both"/>
      </w:pPr>
      <w:r>
        <w:rPr>
          <w:noProof/>
          <w:lang w:eastAsia="it-IT"/>
        </w:rPr>
        <w:lastRenderedPageBreak/>
        <w:drawing>
          <wp:inline distT="0" distB="0" distL="0" distR="0" wp14:anchorId="7255E952" wp14:editId="3AEE37D6">
            <wp:extent cx="2601686" cy="1725386"/>
            <wp:effectExtent l="0" t="0" r="8255" b="825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r>
        <w:rPr>
          <w:noProof/>
          <w:lang w:eastAsia="it-IT"/>
        </w:rPr>
        <w:drawing>
          <wp:inline distT="0" distB="0" distL="0" distR="0" wp14:anchorId="1CC85C0A" wp14:editId="340AA6B7">
            <wp:extent cx="2258786" cy="1719852"/>
            <wp:effectExtent l="0" t="0" r="8255" b="1397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17E3" w:rsidRDefault="006917E3" w:rsidP="00C441D7">
      <w:pPr>
        <w:jc w:val="both"/>
      </w:pPr>
      <w:r>
        <w:rPr>
          <w:noProof/>
          <w:lang w:eastAsia="it-IT"/>
        </w:rPr>
        <w:drawing>
          <wp:inline distT="0" distB="0" distL="0" distR="0" wp14:anchorId="63311222" wp14:editId="26A65AD5">
            <wp:extent cx="2601595" cy="2068286"/>
            <wp:effectExtent l="0" t="0" r="8255" b="8255"/>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r>
        <w:rPr>
          <w:noProof/>
          <w:lang w:eastAsia="it-IT"/>
        </w:rPr>
        <w:drawing>
          <wp:inline distT="0" distB="0" distL="0" distR="0" wp14:anchorId="171A78B9" wp14:editId="306971CC">
            <wp:extent cx="2645228" cy="2068104"/>
            <wp:effectExtent l="0" t="0" r="3175" b="889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17E3" w:rsidRDefault="006917E3" w:rsidP="00C441D7">
      <w:pPr>
        <w:jc w:val="both"/>
      </w:pPr>
      <w:r>
        <w:rPr>
          <w:noProof/>
          <w:lang w:eastAsia="it-IT"/>
        </w:rPr>
        <w:drawing>
          <wp:inline distT="0" distB="0" distL="0" distR="0" wp14:anchorId="33E26C23" wp14:editId="1B1539C5">
            <wp:extent cx="2607129" cy="1817915"/>
            <wp:effectExtent l="0" t="0" r="3175" b="1143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17E3" w:rsidRDefault="006917E3" w:rsidP="00C441D7">
      <w:pPr>
        <w:jc w:val="both"/>
      </w:pPr>
      <w:r>
        <w:t>“Resta, poi, il fatto – aggiunge Pizzo – che per molte di queste aziende gli ammortizzatori sociali andranno in esaurimento con i mesi di giugno e luglio e, nella massima parte dei casi, entro la fine dell’anno, lasciando moltissimi lavoratori scoperti, se non si troveranno soluzioni riparatorie”.</w:t>
      </w:r>
    </w:p>
    <w:p w:rsidR="006917E3" w:rsidRDefault="00A03D4E" w:rsidP="00C441D7">
      <w:pPr>
        <w:jc w:val="both"/>
      </w:pPr>
      <w:r>
        <w:t>Soluzioni che qualche azienda sta già mettendo in atto per contenere, ad esempio, il rincaro dell’energia e delle materie prime sempre più introvabili, se non a carissimo prezzo. E se, ad esempio, alcune cartiere</w:t>
      </w:r>
      <w:r w:rsidR="0067502C">
        <w:t xml:space="preserve"> (si vedano tabelle della mappatura del Dipartimento Industria della Cisl FVG)</w:t>
      </w:r>
      <w:r>
        <w:t xml:space="preserve"> – per definizione aziende fortemente energivore – stanno resistendo grazie ad una marginalità tale da garantire il mantenimento di un equilibrio economico, per altre il prodotto a bassa marginalità e l’impossibilità di scaricare l’aumento dei prezzi sul cliente finale, sta impattando pesantemente sui lavoratori. Ed anche le strategie messe in campo dalle aziende, come, ad esempio (è il caso di alcune cartotecniche con lavoro a ciclo continuo) lo spostamento delle turnazioni sul week end per usufruire delle tariffe Enel di terza fascia, si stanno rivelando assolutamente inefficaci, costringendo molte di esse a rinunciarvi.</w:t>
      </w:r>
    </w:p>
    <w:p w:rsidR="0067502C" w:rsidRDefault="0067502C" w:rsidP="00C441D7">
      <w:pPr>
        <w:jc w:val="both"/>
      </w:pPr>
    </w:p>
    <w:p w:rsidR="0067502C" w:rsidRDefault="0067502C" w:rsidP="00C441D7">
      <w:pPr>
        <w:jc w:val="both"/>
      </w:pPr>
    </w:p>
    <w:p w:rsidR="0067502C" w:rsidRDefault="0067502C" w:rsidP="00C441D7">
      <w:pPr>
        <w:jc w:val="both"/>
      </w:pPr>
      <w:r>
        <w:rPr>
          <w:noProof/>
          <w:lang w:eastAsia="it-IT"/>
        </w:rPr>
        <w:lastRenderedPageBreak/>
        <w:drawing>
          <wp:anchor distT="0" distB="0" distL="114300" distR="114300" simplePos="0" relativeHeight="251659264" behindDoc="0" locked="0" layoutInCell="1" allowOverlap="1" wp14:anchorId="0BCA3445" wp14:editId="6743E181">
            <wp:simplePos x="0" y="0"/>
            <wp:positionH relativeFrom="column">
              <wp:posOffset>2936875</wp:posOffset>
            </wp:positionH>
            <wp:positionV relativeFrom="paragraph">
              <wp:posOffset>8618</wp:posOffset>
            </wp:positionV>
            <wp:extent cx="2318385" cy="1719580"/>
            <wp:effectExtent l="0" t="0" r="5715" b="13970"/>
            <wp:wrapSquare wrapText="bothSides"/>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lang w:eastAsia="it-IT"/>
        </w:rPr>
        <w:drawing>
          <wp:inline distT="0" distB="0" distL="0" distR="0" wp14:anchorId="072B0B4A" wp14:editId="195CD6B3">
            <wp:extent cx="2579914" cy="1736272"/>
            <wp:effectExtent l="0" t="0" r="11430" b="1651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rsidR="0067502C" w:rsidRDefault="0067502C" w:rsidP="00C441D7">
      <w:pPr>
        <w:jc w:val="both"/>
      </w:pPr>
      <w:r>
        <w:rPr>
          <w:noProof/>
          <w:lang w:eastAsia="it-IT"/>
        </w:rPr>
        <w:drawing>
          <wp:inline distT="0" distB="0" distL="0" distR="0" wp14:anchorId="4CF81B30" wp14:editId="2BC61B92">
            <wp:extent cx="5279572" cy="2057037"/>
            <wp:effectExtent l="0" t="0" r="16510" b="635"/>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r>
        <w:rPr>
          <w:noProof/>
          <w:lang w:eastAsia="it-IT"/>
        </w:rPr>
        <w:drawing>
          <wp:inline distT="0" distB="0" distL="0" distR="0" wp14:anchorId="25F91764" wp14:editId="736B6858">
            <wp:extent cx="2813957" cy="1834061"/>
            <wp:effectExtent l="0" t="0" r="5715" b="1397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3D4E" w:rsidRDefault="00A03D4E" w:rsidP="00C441D7">
      <w:pPr>
        <w:jc w:val="both"/>
      </w:pPr>
    </w:p>
    <w:p w:rsidR="00A03D4E" w:rsidRPr="008A72FE" w:rsidRDefault="00A277EA" w:rsidP="00C441D7">
      <w:pPr>
        <w:jc w:val="both"/>
      </w:pPr>
      <w:r>
        <w:t xml:space="preserve">“Siamo di fronte, da una parte, a soluzioni tampone inefficaci, e dall’altra, all’attivazione di ammortizzatori sociali in esaurimento. </w:t>
      </w:r>
      <w:proofErr w:type="gramStart"/>
      <w:r>
        <w:t>E’</w:t>
      </w:r>
      <w:proofErr w:type="gramEnd"/>
      <w:r>
        <w:t xml:space="preserve"> chiaro che, considerando che il problema energetico e soprattutto delle materie prime non finirà nell’immediato, ma anzi diventerà presumibilmente strutturale, </w:t>
      </w:r>
      <w:r w:rsidR="008A72FE">
        <w:t>sarà</w:t>
      </w:r>
      <w:r>
        <w:t xml:space="preserve"> prioritario affrontare in chiave altrettanto strutturale</w:t>
      </w:r>
      <w:r w:rsidR="008A72FE" w:rsidRPr="008A72FE">
        <w:t>, oltre che emergenziale, i temi in questione” - incalza Pizzo</w:t>
      </w:r>
    </w:p>
    <w:p w:rsidR="008A72FE" w:rsidRDefault="008A72FE" w:rsidP="008A72FE">
      <w:pPr>
        <w:jc w:val="both"/>
      </w:pPr>
      <w:r w:rsidRPr="008A72FE">
        <w:t xml:space="preserve">In quest’ottica – conclude il comunicato della Cisl </w:t>
      </w:r>
      <w:proofErr w:type="spellStart"/>
      <w:r w:rsidRPr="008A72FE">
        <w:t>Fvg</w:t>
      </w:r>
      <w:proofErr w:type="spellEnd"/>
      <w:r w:rsidRPr="008A72FE">
        <w:t xml:space="preserve"> – sarà indispensabile intervenire su alcuni strumenti già esistenti, partendo dagli stessi ammortizzatori sociali. “Per fare un esempio – propone il segretario cislino – il caro energia, differentemente dalla mancanza di materie prime, non rientra nei criteri individuati dal Decreto del 2016 sulla concessione della </w:t>
      </w:r>
      <w:proofErr w:type="spellStart"/>
      <w:r w:rsidRPr="008A72FE">
        <w:t>cigo</w:t>
      </w:r>
      <w:proofErr w:type="spellEnd"/>
      <w:r w:rsidRPr="008A72FE">
        <w:t xml:space="preserve">: per questo chiediamo di ripristinare temporaneamente, almeno fino al 30 giugno, una misura simile alla cassa </w:t>
      </w:r>
      <w:proofErr w:type="spellStart"/>
      <w:r w:rsidRPr="008A72FE">
        <w:t>Covid</w:t>
      </w:r>
      <w:proofErr w:type="spellEnd"/>
      <w:r w:rsidRPr="008A72FE">
        <w:t>, ovvero un certo numero di settimane al di fuori del computo complessivo e senza indicare la causale. Questo potrebbe essere un primo intervento per superare l’emergenza in corso e dare tempo per l’elaborazione di soluzioni più durature e a lungo termine</w:t>
      </w:r>
      <w:r w:rsidR="0096321C">
        <w:t xml:space="preserve"> e governare le transizioni</w:t>
      </w:r>
      <w:r w:rsidRPr="008A72FE">
        <w:t>”.</w:t>
      </w:r>
    </w:p>
    <w:p w:rsidR="0096321C" w:rsidRDefault="0096321C" w:rsidP="008A72FE">
      <w:pPr>
        <w:jc w:val="both"/>
      </w:pPr>
      <w:r>
        <w:t xml:space="preserve">Trieste, 21 aprile 2022 </w:t>
      </w:r>
    </w:p>
    <w:p w:rsidR="006917E3" w:rsidRPr="00C441D7" w:rsidRDefault="0096321C" w:rsidP="00C441D7">
      <w:pPr>
        <w:jc w:val="both"/>
      </w:pPr>
      <w:r>
        <w:t xml:space="preserve">Mariateresa </w:t>
      </w:r>
      <w:proofErr w:type="spellStart"/>
      <w:r>
        <w:t>Bazzaro</w:t>
      </w:r>
      <w:proofErr w:type="spellEnd"/>
      <w:r>
        <w:t xml:space="preserve"> – Ufficio stampa Cisl FVG – 331 6392997 – www.cislfvg.it</w:t>
      </w:r>
    </w:p>
    <w:sectPr w:rsidR="006917E3" w:rsidRPr="00C441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C5"/>
    <w:rsid w:val="000D7D3A"/>
    <w:rsid w:val="001412A8"/>
    <w:rsid w:val="00357BE8"/>
    <w:rsid w:val="004002C5"/>
    <w:rsid w:val="006171DD"/>
    <w:rsid w:val="0067502C"/>
    <w:rsid w:val="006917E3"/>
    <w:rsid w:val="006F4354"/>
    <w:rsid w:val="008A72FE"/>
    <w:rsid w:val="0096321C"/>
    <w:rsid w:val="009F02D8"/>
    <w:rsid w:val="00A03D4E"/>
    <w:rsid w:val="00A277EA"/>
    <w:rsid w:val="00B0165B"/>
    <w:rsid w:val="00B60BA1"/>
    <w:rsid w:val="00C441D7"/>
    <w:rsid w:val="00C5393D"/>
    <w:rsid w:val="00C72643"/>
    <w:rsid w:val="00D1149E"/>
    <w:rsid w:val="00F35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A2190-37AC-4F38-A5EE-8151CBE7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fontTable" Target="fontTable.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riaTeresa\Desktop\DIPARTIMENTO%20INDUSTRIA\UD%20scheda%20raccolta%20dat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Aziende per</a:t>
            </a:r>
            <a:r>
              <a:rPr lang="it-IT" baseline="0"/>
              <a:t> territorio</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D9-48A5-ABCA-C620040179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D9-48A5-ABCA-C620040179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D9-48A5-ABCA-C620040179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D9-48A5-ABCA-C620040179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Foglio2!$B$35:$B$38</c:f>
              <c:strCache>
                <c:ptCount val="4"/>
                <c:pt idx="0">
                  <c:v>UDINE</c:v>
                </c:pt>
                <c:pt idx="1">
                  <c:v>ALTO FRIULI</c:v>
                </c:pt>
                <c:pt idx="2">
                  <c:v>PORDENONE</c:v>
                </c:pt>
                <c:pt idx="3">
                  <c:v>GORIZIA</c:v>
                </c:pt>
              </c:strCache>
            </c:strRef>
          </c:cat>
          <c:val>
            <c:numRef>
              <c:f>Foglio2!$C$35:$C$38</c:f>
              <c:numCache>
                <c:formatCode>General</c:formatCode>
                <c:ptCount val="4"/>
                <c:pt idx="0">
                  <c:v>10</c:v>
                </c:pt>
                <c:pt idx="1">
                  <c:v>7</c:v>
                </c:pt>
                <c:pt idx="2">
                  <c:v>7</c:v>
                </c:pt>
                <c:pt idx="3">
                  <c:v>2</c:v>
                </c:pt>
              </c:numCache>
            </c:numRef>
          </c:val>
          <c:extLst>
            <c:ext xmlns:c16="http://schemas.microsoft.com/office/drawing/2014/chart" uri="{C3380CC4-5D6E-409C-BE32-E72D297353CC}">
              <c16:uniqueId val="{00000008-F2D9-48A5-ABCA-C6200401795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Lavoratori coinvolti da crisi per settore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7.6469816272965882E-2"/>
          <c:y val="0.15782407407407409"/>
          <c:w val="0.89019685039370078"/>
          <c:h val="0.61498432487605714"/>
        </c:manualLayout>
      </c:layout>
      <c:barChart>
        <c:barDir val="col"/>
        <c:grouping val="clustered"/>
        <c:varyColors val="0"/>
        <c:ser>
          <c:idx val="0"/>
          <c:order val="0"/>
          <c:tx>
            <c:strRef>
              <c:f>Foglio2!$I$259</c:f>
              <c:strCache>
                <c:ptCount val="1"/>
                <c:pt idx="0">
                  <c:v>Numero totale lavoratori</c:v>
                </c:pt>
              </c:strCache>
            </c:strRef>
          </c:tx>
          <c:spPr>
            <a:solidFill>
              <a:schemeClr val="accent1"/>
            </a:solidFill>
            <a:ln>
              <a:noFill/>
            </a:ln>
            <a:effectLst/>
          </c:spPr>
          <c:invertIfNegative val="0"/>
          <c:val>
            <c:numRef>
              <c:f>Foglio2!$I$260:$I$264</c:f>
              <c:numCache>
                <c:formatCode>General</c:formatCode>
                <c:ptCount val="5"/>
                <c:pt idx="0">
                  <c:v>166</c:v>
                </c:pt>
                <c:pt idx="1">
                  <c:v>85</c:v>
                </c:pt>
                <c:pt idx="2">
                  <c:v>25</c:v>
                </c:pt>
                <c:pt idx="3">
                  <c:v>275</c:v>
                </c:pt>
                <c:pt idx="4">
                  <c:v>55</c:v>
                </c:pt>
              </c:numCache>
            </c:numRef>
          </c:val>
          <c:extLst>
            <c:ext xmlns:c16="http://schemas.microsoft.com/office/drawing/2014/chart" uri="{C3380CC4-5D6E-409C-BE32-E72D297353CC}">
              <c16:uniqueId val="{00000000-8BA2-486D-9FD7-3E362CAC4D31}"/>
            </c:ext>
          </c:extLst>
        </c:ser>
        <c:ser>
          <c:idx val="1"/>
          <c:order val="1"/>
          <c:tx>
            <c:strRef>
              <c:f>Foglio2!$J$259</c:f>
              <c:strCache>
                <c:ptCount val="1"/>
                <c:pt idx="0">
                  <c:v>Numero lavoratori coinvolti dalla crisi</c:v>
                </c:pt>
              </c:strCache>
            </c:strRef>
          </c:tx>
          <c:spPr>
            <a:solidFill>
              <a:schemeClr val="accent2"/>
            </a:solidFill>
            <a:ln>
              <a:noFill/>
            </a:ln>
            <a:effectLst/>
          </c:spPr>
          <c:invertIfNegative val="0"/>
          <c:val>
            <c:numRef>
              <c:f>Foglio2!$J$260:$J$264</c:f>
              <c:numCache>
                <c:formatCode>General</c:formatCode>
                <c:ptCount val="5"/>
                <c:pt idx="0">
                  <c:v>166</c:v>
                </c:pt>
                <c:pt idx="1">
                  <c:v>85</c:v>
                </c:pt>
                <c:pt idx="2">
                  <c:v>25</c:v>
                </c:pt>
                <c:pt idx="3">
                  <c:v>275</c:v>
                </c:pt>
                <c:pt idx="4">
                  <c:v>55</c:v>
                </c:pt>
              </c:numCache>
            </c:numRef>
          </c:val>
          <c:extLst>
            <c:ext xmlns:c16="http://schemas.microsoft.com/office/drawing/2014/chart" uri="{C3380CC4-5D6E-409C-BE32-E72D297353CC}">
              <c16:uniqueId val="{00000001-8BA2-486D-9FD7-3E362CAC4D31}"/>
            </c:ext>
          </c:extLst>
        </c:ser>
        <c:ser>
          <c:idx val="2"/>
          <c:order val="2"/>
          <c:tx>
            <c:strRef>
              <c:f>Foglio2!$K$259</c:f>
              <c:strCache>
                <c:ptCount val="1"/>
                <c:pt idx="0">
                  <c:v>Settore</c:v>
                </c:pt>
              </c:strCache>
            </c:strRef>
          </c:tx>
          <c:spPr>
            <a:solidFill>
              <a:schemeClr val="accent3"/>
            </a:solidFill>
            <a:ln>
              <a:noFill/>
            </a:ln>
            <a:effectLst/>
          </c:spPr>
          <c:invertIfNegative val="0"/>
          <c:val>
            <c:numRef>
              <c:f>Foglio2!$K$260:$K$264</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8BA2-486D-9FD7-3E362CAC4D31}"/>
            </c:ext>
          </c:extLst>
        </c:ser>
        <c:dLbls>
          <c:showLegendKey val="0"/>
          <c:showVal val="0"/>
          <c:showCatName val="0"/>
          <c:showSerName val="0"/>
          <c:showPercent val="0"/>
          <c:showBubbleSize val="0"/>
        </c:dLbls>
        <c:gapWidth val="219"/>
        <c:overlap val="-27"/>
        <c:axId val="155554560"/>
        <c:axId val="155552064"/>
        <c:extLst>
          <c:ext xmlns:c15="http://schemas.microsoft.com/office/drawing/2012/chart" uri="{02D57815-91ED-43cb-92C2-25804820EDAC}">
            <c15:filteredBarSeries>
              <c15:ser>
                <c:idx val="3"/>
                <c:order val="3"/>
                <c:tx>
                  <c:strRef>
                    <c:extLst>
                      <c:ext uri="{02D57815-91ED-43cb-92C2-25804820EDAC}">
                        <c15:formulaRef>
                          <c15:sqref>Foglio2!$L$259</c15:sqref>
                        </c15:formulaRef>
                      </c:ext>
                    </c:extLst>
                    <c:strCache>
                      <c:ptCount val="1"/>
                    </c:strCache>
                  </c:strRef>
                </c:tx>
                <c:spPr>
                  <a:solidFill>
                    <a:schemeClr val="accent4"/>
                  </a:solidFill>
                  <a:ln>
                    <a:noFill/>
                  </a:ln>
                  <a:effectLst/>
                </c:spPr>
                <c:invertIfNegative val="0"/>
                <c:val>
                  <c:numRef>
                    <c:extLst>
                      <c:ext uri="{02D57815-91ED-43cb-92C2-25804820EDAC}">
                        <c15:formulaRef>
                          <c15:sqref>Foglio2!$L$260:$L$264</c15:sqref>
                        </c15:formulaRef>
                      </c:ext>
                    </c:extLst>
                    <c:numCache>
                      <c:formatCode>General</c:formatCode>
                      <c:ptCount val="5"/>
                    </c:numCache>
                  </c:numRef>
                </c:val>
                <c:extLst>
                  <c:ext xmlns:c16="http://schemas.microsoft.com/office/drawing/2014/chart" uri="{C3380CC4-5D6E-409C-BE32-E72D297353CC}">
                    <c16:uniqueId val="{00000003-8BA2-486D-9FD7-3E362CAC4D3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Foglio2!$M$259</c15:sqref>
                        </c15:formulaRef>
                      </c:ext>
                    </c:extLst>
                    <c:strCache>
                      <c:ptCount val="1"/>
                    </c:strCache>
                  </c:strRef>
                </c:tx>
                <c:spPr>
                  <a:solidFill>
                    <a:schemeClr val="accent5"/>
                  </a:solidFill>
                  <a:ln>
                    <a:noFill/>
                  </a:ln>
                  <a:effectLst/>
                </c:spPr>
                <c:invertIfNegative val="0"/>
                <c:val>
                  <c:numRef>
                    <c:extLst xmlns:c15="http://schemas.microsoft.com/office/drawing/2012/chart">
                      <c:ext xmlns:c15="http://schemas.microsoft.com/office/drawing/2012/chart" uri="{02D57815-91ED-43cb-92C2-25804820EDAC}">
                        <c15:formulaRef>
                          <c15:sqref>Foglio2!$M$260:$M$264</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4-8BA2-486D-9FD7-3E362CAC4D31}"/>
                  </c:ext>
                </c:extLst>
              </c15:ser>
            </c15:filteredBarSeries>
          </c:ext>
        </c:extLst>
      </c:barChart>
      <c:catAx>
        <c:axId val="15555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552064"/>
        <c:crosses val="autoZero"/>
        <c:auto val="1"/>
        <c:lblAlgn val="ctr"/>
        <c:lblOffset val="100"/>
        <c:noMultiLvlLbl val="0"/>
      </c:catAx>
      <c:valAx>
        <c:axId val="15555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554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Tipologia di crisi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Foglio2!$I$277:$I$280</c:f>
              <c:strCache>
                <c:ptCount val="4"/>
                <c:pt idx="0">
                  <c:v>LIQUIDITA'</c:v>
                </c:pt>
                <c:pt idx="1">
                  <c:v>PRODOTTO A BASSA MARGINALITA'</c:v>
                </c:pt>
                <c:pt idx="2">
                  <c:v>CARENZA ORDINI</c:v>
                </c:pt>
                <c:pt idx="3">
                  <c:v>RIDUZIONE INCASSI</c:v>
                </c:pt>
              </c:strCache>
            </c:strRef>
          </c:cat>
          <c:val>
            <c:numRef>
              <c:f>Foglio2!$J$277:$J$280</c:f>
              <c:numCache>
                <c:formatCode>General</c:formatCode>
                <c:ptCount val="4"/>
                <c:pt idx="0">
                  <c:v>2</c:v>
                </c:pt>
                <c:pt idx="1">
                  <c:v>3</c:v>
                </c:pt>
                <c:pt idx="2">
                  <c:v>2</c:v>
                </c:pt>
                <c:pt idx="3">
                  <c:v>3</c:v>
                </c:pt>
              </c:numCache>
            </c:numRef>
          </c:val>
          <c:extLst>
            <c:ext xmlns:c16="http://schemas.microsoft.com/office/drawing/2014/chart" uri="{C3380CC4-5D6E-409C-BE32-E72D297353CC}">
              <c16:uniqueId val="{00000000-FB31-4BCC-81B8-21774C94D6EB}"/>
            </c:ext>
          </c:extLst>
        </c:ser>
        <c:dLbls>
          <c:showLegendKey val="0"/>
          <c:showVal val="0"/>
          <c:showCatName val="0"/>
          <c:showSerName val="0"/>
          <c:showPercent val="0"/>
          <c:showBubbleSize val="0"/>
        </c:dLbls>
        <c:gapWidth val="182"/>
        <c:axId val="155558304"/>
        <c:axId val="155544160"/>
      </c:barChart>
      <c:catAx>
        <c:axId val="155558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544160"/>
        <c:crosses val="autoZero"/>
        <c:auto val="1"/>
        <c:lblAlgn val="ctr"/>
        <c:lblOffset val="100"/>
        <c:noMultiLvlLbl val="0"/>
      </c:catAx>
      <c:valAx>
        <c:axId val="155544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555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Settore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Foglio2!$C$58:$C$66</c:f>
              <c:strCache>
                <c:ptCount val="9"/>
                <c:pt idx="0">
                  <c:v>SIDERURGIA</c:v>
                </c:pt>
                <c:pt idx="1">
                  <c:v>METALMECCANICA</c:v>
                </c:pt>
                <c:pt idx="2">
                  <c:v>AUTOMOTIVE</c:v>
                </c:pt>
                <c:pt idx="3">
                  <c:v>COMPONENTISTICA</c:v>
                </c:pt>
                <c:pt idx="4">
                  <c:v>MECCANICA</c:v>
                </c:pt>
                <c:pt idx="5">
                  <c:v>ACCIAIERIA</c:v>
                </c:pt>
                <c:pt idx="6">
                  <c:v>OIL&amp;GAS</c:v>
                </c:pt>
                <c:pt idx="7">
                  <c:v>MOTORI ELETTRICI</c:v>
                </c:pt>
                <c:pt idx="8">
                  <c:v>INFRASTRUTTURE E TELEC.</c:v>
                </c:pt>
              </c:strCache>
            </c:strRef>
          </c:cat>
          <c:val>
            <c:numRef>
              <c:f>Foglio2!$D$58:$D$66</c:f>
              <c:numCache>
                <c:formatCode>General</c:formatCode>
                <c:ptCount val="9"/>
                <c:pt idx="0">
                  <c:v>2</c:v>
                </c:pt>
                <c:pt idx="1">
                  <c:v>16</c:v>
                </c:pt>
                <c:pt idx="2">
                  <c:v>2</c:v>
                </c:pt>
                <c:pt idx="3">
                  <c:v>1</c:v>
                </c:pt>
                <c:pt idx="4">
                  <c:v>1</c:v>
                </c:pt>
                <c:pt idx="5">
                  <c:v>1</c:v>
                </c:pt>
                <c:pt idx="6">
                  <c:v>1</c:v>
                </c:pt>
                <c:pt idx="7">
                  <c:v>1</c:v>
                </c:pt>
                <c:pt idx="8">
                  <c:v>1</c:v>
                </c:pt>
              </c:numCache>
            </c:numRef>
          </c:val>
          <c:extLst>
            <c:ext xmlns:c16="http://schemas.microsoft.com/office/drawing/2014/chart" uri="{C3380CC4-5D6E-409C-BE32-E72D297353CC}">
              <c16:uniqueId val="{00000000-8EE8-49B0-B634-990DAA0E6A8B}"/>
            </c:ext>
          </c:extLst>
        </c:ser>
        <c:dLbls>
          <c:dLblPos val="inEnd"/>
          <c:showLegendKey val="0"/>
          <c:showVal val="1"/>
          <c:showCatName val="0"/>
          <c:showSerName val="0"/>
          <c:showPercent val="0"/>
          <c:showBubbleSize val="0"/>
        </c:dLbls>
        <c:gapWidth val="115"/>
        <c:overlap val="-20"/>
        <c:axId val="295970176"/>
        <c:axId val="295973920"/>
      </c:barChart>
      <c:catAx>
        <c:axId val="2959701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5973920"/>
        <c:crosses val="autoZero"/>
        <c:auto val="1"/>
        <c:lblAlgn val="ctr"/>
        <c:lblOffset val="100"/>
        <c:noMultiLvlLbl val="0"/>
      </c:catAx>
      <c:valAx>
        <c:axId val="295973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5970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Tipologia di crisi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Foglio2!$C$86:$C$91</c:f>
              <c:strCache>
                <c:ptCount val="6"/>
                <c:pt idx="0">
                  <c:v>RINCARI</c:v>
                </c:pt>
                <c:pt idx="1">
                  <c:v>MANCANZA/CALO COMMESSE/ORDINI</c:v>
                </c:pt>
                <c:pt idx="2">
                  <c:v>RIDUZIONE PERSONALE</c:v>
                </c:pt>
                <c:pt idx="3">
                  <c:v>CARO ENERGIA+ CARENZA COMMESSE</c:v>
                </c:pt>
                <c:pt idx="4">
                  <c:v>MANCANZA MATERIE PRIME/COMPONENTI</c:v>
                </c:pt>
                <c:pt idx="5">
                  <c:v>CRISI SETTORE</c:v>
                </c:pt>
              </c:strCache>
            </c:strRef>
          </c:cat>
          <c:val>
            <c:numRef>
              <c:f>Foglio2!$E$86:$E$91</c:f>
              <c:numCache>
                <c:formatCode>General</c:formatCode>
                <c:ptCount val="6"/>
                <c:pt idx="0">
                  <c:v>1</c:v>
                </c:pt>
                <c:pt idx="1">
                  <c:v>9</c:v>
                </c:pt>
                <c:pt idx="2">
                  <c:v>2</c:v>
                </c:pt>
                <c:pt idx="3">
                  <c:v>3</c:v>
                </c:pt>
                <c:pt idx="4">
                  <c:v>9</c:v>
                </c:pt>
                <c:pt idx="5">
                  <c:v>2</c:v>
                </c:pt>
              </c:numCache>
            </c:numRef>
          </c:val>
          <c:extLst>
            <c:ext xmlns:c16="http://schemas.microsoft.com/office/drawing/2014/chart" uri="{C3380CC4-5D6E-409C-BE32-E72D297353CC}">
              <c16:uniqueId val="{00000000-254C-4B4E-9CBB-5CC10D0175AF}"/>
            </c:ext>
          </c:extLst>
        </c:ser>
        <c:dLbls>
          <c:dLblPos val="outEnd"/>
          <c:showLegendKey val="0"/>
          <c:showVal val="1"/>
          <c:showCatName val="0"/>
          <c:showSerName val="0"/>
          <c:showPercent val="0"/>
          <c:showBubbleSize val="0"/>
        </c:dLbls>
        <c:gapWidth val="115"/>
        <c:overlap val="-20"/>
        <c:axId val="295974752"/>
        <c:axId val="295978496"/>
        <c:extLst>
          <c:ext xmlns:c15="http://schemas.microsoft.com/office/drawing/2012/chart" uri="{02D57815-91ED-43cb-92C2-25804820EDAC}">
            <c15:filteredBarSeries>
              <c15: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Foglio2!$C$86:$C$91</c15:sqref>
                        </c15:formulaRef>
                      </c:ext>
                    </c:extLst>
                    <c:strCache>
                      <c:ptCount val="6"/>
                      <c:pt idx="0">
                        <c:v>RINCARI</c:v>
                      </c:pt>
                      <c:pt idx="1">
                        <c:v>MANCANZA/CALO COMMESSE/ORDINI</c:v>
                      </c:pt>
                      <c:pt idx="2">
                        <c:v>RIDUZIONE PERSONALE</c:v>
                      </c:pt>
                      <c:pt idx="3">
                        <c:v>CARO ENERGIA+ CARENZA COMMESSE</c:v>
                      </c:pt>
                      <c:pt idx="4">
                        <c:v>MANCANZA MATERIE PRIME/COMPONENTI</c:v>
                      </c:pt>
                      <c:pt idx="5">
                        <c:v>CRISI SETTORE</c:v>
                      </c:pt>
                    </c:strCache>
                  </c:strRef>
                </c:cat>
                <c:val>
                  <c:numRef>
                    <c:extLst>
                      <c:ext uri="{02D57815-91ED-43cb-92C2-25804820EDAC}">
                        <c15:formulaRef>
                          <c15:sqref>Foglio2!$D$86:$D$91</c15:sqref>
                        </c15:formulaRef>
                      </c:ext>
                    </c:extLst>
                    <c:numCache>
                      <c:formatCode>General</c:formatCode>
                      <c:ptCount val="6"/>
                    </c:numCache>
                  </c:numRef>
                </c:val>
                <c:extLst>
                  <c:ext xmlns:c16="http://schemas.microsoft.com/office/drawing/2014/chart" uri="{C3380CC4-5D6E-409C-BE32-E72D297353CC}">
                    <c16:uniqueId val="{00000001-254C-4B4E-9CBB-5CC10D0175AF}"/>
                  </c:ext>
                </c:extLst>
              </c15:ser>
            </c15:filteredBarSeries>
          </c:ext>
        </c:extLst>
      </c:barChart>
      <c:catAx>
        <c:axId val="2959747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5978496"/>
        <c:crosses val="autoZero"/>
        <c:auto val="1"/>
        <c:lblAlgn val="ctr"/>
        <c:lblOffset val="100"/>
        <c:noMultiLvlLbl val="0"/>
      </c:catAx>
      <c:valAx>
        <c:axId val="295978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5974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Lavoratori totali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5D-468E-BC41-3508379885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5D-468E-BC41-3508379885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5D-468E-BC41-3508379885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5D-468E-BC41-3508379885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Foglio2!$E$135:$E$138</c:f>
              <c:strCache>
                <c:ptCount val="4"/>
                <c:pt idx="0">
                  <c:v>UDINE</c:v>
                </c:pt>
                <c:pt idx="1">
                  <c:v>ALTO FRIULI</c:v>
                </c:pt>
                <c:pt idx="2">
                  <c:v>PORDENONE</c:v>
                </c:pt>
                <c:pt idx="3">
                  <c:v>GORIZIA</c:v>
                </c:pt>
              </c:strCache>
            </c:strRef>
          </c:cat>
          <c:val>
            <c:numRef>
              <c:f>Foglio2!$F$135:$F$138</c:f>
              <c:numCache>
                <c:formatCode>General</c:formatCode>
                <c:ptCount val="4"/>
                <c:pt idx="0">
                  <c:v>2213</c:v>
                </c:pt>
                <c:pt idx="1">
                  <c:v>1466</c:v>
                </c:pt>
                <c:pt idx="2">
                  <c:v>2838</c:v>
                </c:pt>
                <c:pt idx="3">
                  <c:v>620</c:v>
                </c:pt>
              </c:numCache>
            </c:numRef>
          </c:val>
          <c:extLst>
            <c:ext xmlns:c16="http://schemas.microsoft.com/office/drawing/2014/chart" uri="{C3380CC4-5D6E-409C-BE32-E72D297353CC}">
              <c16:uniqueId val="{00000008-CD5D-468E-BC41-3508379885A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Lavoratori coinvolti da</a:t>
            </a:r>
            <a:r>
              <a:rPr lang="it-IT" baseline="0"/>
              <a:t> crisi</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CDB-4629-B194-96C8F2DD3E6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CDB-4629-B194-96C8F2DD3E6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CDB-4629-B194-96C8F2DD3E6D}"/>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CDB-4629-B194-96C8F2DD3E6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Foglio2!$E$159:$E$162</c:f>
              <c:strCache>
                <c:ptCount val="4"/>
                <c:pt idx="0">
                  <c:v>UDINE</c:v>
                </c:pt>
                <c:pt idx="1">
                  <c:v>ALTO FRIULI</c:v>
                </c:pt>
                <c:pt idx="2">
                  <c:v>PORDENONE</c:v>
                </c:pt>
                <c:pt idx="3">
                  <c:v>GORIZIA</c:v>
                </c:pt>
              </c:strCache>
            </c:strRef>
          </c:cat>
          <c:val>
            <c:numRef>
              <c:f>Foglio2!$F$159:$F$162</c:f>
              <c:numCache>
                <c:formatCode>General</c:formatCode>
                <c:ptCount val="4"/>
                <c:pt idx="0">
                  <c:v>979</c:v>
                </c:pt>
                <c:pt idx="1">
                  <c:v>924</c:v>
                </c:pt>
                <c:pt idx="2">
                  <c:v>1465</c:v>
                </c:pt>
                <c:pt idx="3">
                  <c:v>390</c:v>
                </c:pt>
              </c:numCache>
            </c:numRef>
          </c:val>
          <c:extLst>
            <c:ext xmlns:c16="http://schemas.microsoft.com/office/drawing/2014/chart" uri="{C3380CC4-5D6E-409C-BE32-E72D297353CC}">
              <c16:uniqueId val="{00000008-8CDB-4629-B194-96C8F2DD3E6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Rapporto totale addetti/lavoratori coinvolti</a:t>
            </a:r>
            <a:r>
              <a:rPr lang="it-IT" baseline="0"/>
              <a:t> dalla crisi</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Foglio2!$F$177</c:f>
              <c:strCache>
                <c:ptCount val="1"/>
                <c:pt idx="0">
                  <c:v>Totale addetti</c:v>
                </c:pt>
              </c:strCache>
            </c:strRef>
          </c:tx>
          <c:spPr>
            <a:solidFill>
              <a:schemeClr val="accent1"/>
            </a:solidFill>
            <a:ln>
              <a:noFill/>
            </a:ln>
            <a:effectLst/>
          </c:spPr>
          <c:invertIfNegative val="0"/>
          <c:cat>
            <c:strRef>
              <c:f>Foglio2!$E$178:$E$181</c:f>
              <c:strCache>
                <c:ptCount val="4"/>
                <c:pt idx="0">
                  <c:v>UDINE</c:v>
                </c:pt>
                <c:pt idx="1">
                  <c:v>ALTO FRIULI</c:v>
                </c:pt>
                <c:pt idx="2">
                  <c:v>PORDENONE</c:v>
                </c:pt>
                <c:pt idx="3">
                  <c:v>GORIZIA</c:v>
                </c:pt>
              </c:strCache>
            </c:strRef>
          </c:cat>
          <c:val>
            <c:numRef>
              <c:f>Foglio2!$F$178:$F$181</c:f>
              <c:numCache>
                <c:formatCode>General</c:formatCode>
                <c:ptCount val="4"/>
                <c:pt idx="0">
                  <c:v>2213</c:v>
                </c:pt>
                <c:pt idx="1">
                  <c:v>1466</c:v>
                </c:pt>
                <c:pt idx="2">
                  <c:v>2838</c:v>
                </c:pt>
                <c:pt idx="3">
                  <c:v>620</c:v>
                </c:pt>
              </c:numCache>
            </c:numRef>
          </c:val>
          <c:extLst>
            <c:ext xmlns:c16="http://schemas.microsoft.com/office/drawing/2014/chart" uri="{C3380CC4-5D6E-409C-BE32-E72D297353CC}">
              <c16:uniqueId val="{00000000-9AB8-4494-BB2A-07916B707C8C}"/>
            </c:ext>
          </c:extLst>
        </c:ser>
        <c:ser>
          <c:idx val="1"/>
          <c:order val="1"/>
          <c:tx>
            <c:strRef>
              <c:f>Foglio2!$G$177</c:f>
              <c:strCache>
                <c:ptCount val="1"/>
                <c:pt idx="0">
                  <c:v>Lavoratori coinvolti da crisi</c:v>
                </c:pt>
              </c:strCache>
            </c:strRef>
          </c:tx>
          <c:spPr>
            <a:solidFill>
              <a:schemeClr val="accent2"/>
            </a:solidFill>
            <a:ln>
              <a:noFill/>
            </a:ln>
            <a:effectLst/>
          </c:spPr>
          <c:invertIfNegative val="0"/>
          <c:cat>
            <c:strRef>
              <c:f>Foglio2!$E$178:$E$181</c:f>
              <c:strCache>
                <c:ptCount val="4"/>
                <c:pt idx="0">
                  <c:v>UDINE</c:v>
                </c:pt>
                <c:pt idx="1">
                  <c:v>ALTO FRIULI</c:v>
                </c:pt>
                <c:pt idx="2">
                  <c:v>PORDENONE</c:v>
                </c:pt>
                <c:pt idx="3">
                  <c:v>GORIZIA</c:v>
                </c:pt>
              </c:strCache>
            </c:strRef>
          </c:cat>
          <c:val>
            <c:numRef>
              <c:f>Foglio2!$G$178:$G$181</c:f>
              <c:numCache>
                <c:formatCode>General</c:formatCode>
                <c:ptCount val="4"/>
                <c:pt idx="0">
                  <c:v>979</c:v>
                </c:pt>
                <c:pt idx="1">
                  <c:v>924</c:v>
                </c:pt>
                <c:pt idx="2">
                  <c:v>1465</c:v>
                </c:pt>
                <c:pt idx="3">
                  <c:v>390</c:v>
                </c:pt>
              </c:numCache>
            </c:numRef>
          </c:val>
          <c:extLst>
            <c:ext xmlns:c16="http://schemas.microsoft.com/office/drawing/2014/chart" uri="{C3380CC4-5D6E-409C-BE32-E72D297353CC}">
              <c16:uniqueId val="{00000001-9AB8-4494-BB2A-07916B707C8C}"/>
            </c:ext>
          </c:extLst>
        </c:ser>
        <c:dLbls>
          <c:showLegendKey val="0"/>
          <c:showVal val="0"/>
          <c:showCatName val="0"/>
          <c:showSerName val="0"/>
          <c:showPercent val="0"/>
          <c:showBubbleSize val="0"/>
        </c:dLbls>
        <c:gapWidth val="219"/>
        <c:overlap val="-27"/>
        <c:axId val="164270928"/>
        <c:axId val="164273424"/>
      </c:barChart>
      <c:catAx>
        <c:axId val="16427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273424"/>
        <c:crosses val="autoZero"/>
        <c:auto val="1"/>
        <c:lblAlgn val="ctr"/>
        <c:lblOffset val="100"/>
        <c:noMultiLvlLbl val="0"/>
      </c:catAx>
      <c:valAx>
        <c:axId val="16427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427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Tipologia di ammortizzatore adottato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F9-4FEA-8934-3267D3DEDE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F9-4FEA-8934-3267D3DEDE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F9-4FEA-8934-3267D3DEDE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F9-4FEA-8934-3267D3DEDE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Foglio2!$C$187:$C$190</c:f>
              <c:strCache>
                <c:ptCount val="4"/>
                <c:pt idx="0">
                  <c:v>CIGO/CIGS</c:v>
                </c:pt>
                <c:pt idx="1">
                  <c:v>CIGS</c:v>
                </c:pt>
                <c:pt idx="2">
                  <c:v>CIGO</c:v>
                </c:pt>
                <c:pt idx="3">
                  <c:v>SOLIDARIETA'</c:v>
                </c:pt>
              </c:strCache>
            </c:strRef>
          </c:cat>
          <c:val>
            <c:numRef>
              <c:f>Foglio2!$D$187:$D$190</c:f>
              <c:numCache>
                <c:formatCode>General</c:formatCode>
                <c:ptCount val="4"/>
                <c:pt idx="0">
                  <c:v>2</c:v>
                </c:pt>
                <c:pt idx="1">
                  <c:v>1</c:v>
                </c:pt>
                <c:pt idx="2">
                  <c:v>17</c:v>
                </c:pt>
                <c:pt idx="3">
                  <c:v>5</c:v>
                </c:pt>
              </c:numCache>
            </c:numRef>
          </c:val>
          <c:extLst>
            <c:ext xmlns:c16="http://schemas.microsoft.com/office/drawing/2014/chart" uri="{C3380CC4-5D6E-409C-BE32-E72D297353CC}">
              <c16:uniqueId val="{00000008-85F9-4FEA-8934-3267D3DEDEA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Aziende per territorio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BE-49C5-9F6A-73C7AEDBB6A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BE-49C5-9F6A-73C7AEDBB6A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BE-49C5-9F6A-73C7AEDBB6A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Foglio2!$N$224:$N$226</c:f>
              <c:strCache>
                <c:ptCount val="3"/>
                <c:pt idx="0">
                  <c:v>UDINE</c:v>
                </c:pt>
                <c:pt idx="1">
                  <c:v>TRIESTE</c:v>
                </c:pt>
                <c:pt idx="2">
                  <c:v>PORDENONE</c:v>
                </c:pt>
              </c:strCache>
            </c:strRef>
          </c:cat>
          <c:val>
            <c:numRef>
              <c:f>Foglio2!$O$224:$O$226</c:f>
              <c:numCache>
                <c:formatCode>General</c:formatCode>
                <c:ptCount val="3"/>
                <c:pt idx="0">
                  <c:v>6</c:v>
                </c:pt>
                <c:pt idx="1">
                  <c:v>1</c:v>
                </c:pt>
                <c:pt idx="2">
                  <c:v>4</c:v>
                </c:pt>
              </c:numCache>
            </c:numRef>
          </c:val>
          <c:extLst>
            <c:ext xmlns:c16="http://schemas.microsoft.com/office/drawing/2014/chart" uri="{C3380CC4-5D6E-409C-BE32-E72D297353CC}">
              <c16:uniqueId val="{00000006-03BE-49C5-9F6A-73C7AEDBB6A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Settore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Foglio2!$J$237:$J$241</c:f>
              <c:strCache>
                <c:ptCount val="5"/>
                <c:pt idx="0">
                  <c:v>CINEMA</c:v>
                </c:pt>
                <c:pt idx="1">
                  <c:v>SERIGRAFIA</c:v>
                </c:pt>
                <c:pt idx="2">
                  <c:v>CARTIERE</c:v>
                </c:pt>
                <c:pt idx="3">
                  <c:v>TELECOMUNCAZIONI</c:v>
                </c:pt>
                <c:pt idx="4">
                  <c:v>GRAFICA</c:v>
                </c:pt>
              </c:strCache>
            </c:strRef>
          </c:cat>
          <c:val>
            <c:numRef>
              <c:f>Foglio2!$K$237:$K$241</c:f>
              <c:numCache>
                <c:formatCode>General</c:formatCode>
                <c:ptCount val="5"/>
                <c:pt idx="0">
                  <c:v>4</c:v>
                </c:pt>
                <c:pt idx="1">
                  <c:v>2</c:v>
                </c:pt>
                <c:pt idx="2">
                  <c:v>2</c:v>
                </c:pt>
                <c:pt idx="3">
                  <c:v>1</c:v>
                </c:pt>
                <c:pt idx="4">
                  <c:v>2</c:v>
                </c:pt>
              </c:numCache>
            </c:numRef>
          </c:val>
          <c:extLst>
            <c:ext xmlns:c16="http://schemas.microsoft.com/office/drawing/2014/chart" uri="{C3380CC4-5D6E-409C-BE32-E72D297353CC}">
              <c16:uniqueId val="{00000000-89EB-4C7D-BC01-1B9674B8EBEB}"/>
            </c:ext>
          </c:extLst>
        </c:ser>
        <c:dLbls>
          <c:dLblPos val="outEnd"/>
          <c:showLegendKey val="0"/>
          <c:showVal val="1"/>
          <c:showCatName val="0"/>
          <c:showSerName val="0"/>
          <c:showPercent val="0"/>
          <c:showBubbleSize val="0"/>
        </c:dLbls>
        <c:gapWidth val="182"/>
        <c:axId val="159322256"/>
        <c:axId val="166365600"/>
      </c:barChart>
      <c:catAx>
        <c:axId val="159322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6365600"/>
        <c:crosses val="autoZero"/>
        <c:auto val="1"/>
        <c:lblAlgn val="ctr"/>
        <c:lblOffset val="100"/>
        <c:noMultiLvlLbl val="0"/>
      </c:catAx>
      <c:valAx>
        <c:axId val="166365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322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dc:creator>
  <cp:keywords/>
  <dc:description/>
  <cp:lastModifiedBy>MariaTeresa</cp:lastModifiedBy>
  <cp:revision>2</cp:revision>
  <dcterms:created xsi:type="dcterms:W3CDTF">2022-07-04T10:39:00Z</dcterms:created>
  <dcterms:modified xsi:type="dcterms:W3CDTF">2022-07-04T10:39:00Z</dcterms:modified>
</cp:coreProperties>
</file>